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3156E" w14:textId="6DF22AC8"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5C29FA">
        <w:rPr>
          <w:rFonts w:cs="Arial"/>
          <w:b/>
          <w:noProof/>
          <w:sz w:val="24"/>
        </w:rPr>
        <w:t>6</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C231FD">
        <w:rPr>
          <w:rFonts w:cs="Arial"/>
          <w:b/>
          <w:noProof/>
          <w:sz w:val="24"/>
        </w:rPr>
        <w:t>11648</w:t>
      </w:r>
    </w:p>
    <w:p w14:paraId="1B79EE69" w14:textId="32328484" w:rsidR="008F4EDF" w:rsidRDefault="005C29FA" w:rsidP="008F4EDF">
      <w:pPr>
        <w:pStyle w:val="CRCoverPage"/>
        <w:pBdr>
          <w:bottom w:val="single" w:sz="4" w:space="1" w:color="auto"/>
        </w:pBdr>
        <w:tabs>
          <w:tab w:val="right" w:pos="9639"/>
        </w:tabs>
        <w:spacing w:after="0"/>
        <w:rPr>
          <w:rFonts w:cs="Arial"/>
          <w:b/>
          <w:noProof/>
          <w:color w:val="0070C0"/>
          <w:sz w:val="24"/>
        </w:rPr>
      </w:pPr>
      <w:r>
        <w:rPr>
          <w:b/>
          <w:noProof/>
          <w:sz w:val="24"/>
        </w:rPr>
        <w:t>November 18 – 22</w:t>
      </w:r>
      <w:r w:rsidR="006E73FE">
        <w:rPr>
          <w:b/>
          <w:noProof/>
          <w:sz w:val="24"/>
        </w:rPr>
        <w:t xml:space="preserve">, </w:t>
      </w:r>
      <w:r>
        <w:rPr>
          <w:b/>
          <w:noProof/>
          <w:sz w:val="24"/>
        </w:rPr>
        <w:t>2024, Orlando, FL, USA</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3F7B4344"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D2765C">
        <w:rPr>
          <w:rFonts w:ascii="Arial" w:hAnsi="Arial" w:cs="Arial"/>
          <w:b/>
        </w:rPr>
        <w:t xml:space="preserve">, Apple, </w:t>
      </w:r>
      <w:proofErr w:type="spellStart"/>
      <w:r w:rsidR="00D2765C">
        <w:rPr>
          <w:rFonts w:ascii="Arial" w:hAnsi="Arial" w:cs="Arial"/>
          <w:b/>
        </w:rPr>
        <w:t>Cablelabs</w:t>
      </w:r>
      <w:proofErr w:type="spellEnd"/>
      <w:r w:rsidR="00D2765C">
        <w:rPr>
          <w:rFonts w:ascii="Arial" w:hAnsi="Arial" w:cs="Arial"/>
          <w:b/>
        </w:rPr>
        <w:t>, Google</w:t>
      </w:r>
      <w:r w:rsidR="002C3910">
        <w:rPr>
          <w:rFonts w:ascii="Arial" w:hAnsi="Arial" w:cs="Arial"/>
          <w:b/>
        </w:rPr>
        <w:t xml:space="preserve"> </w:t>
      </w:r>
    </w:p>
    <w:p w14:paraId="3DF31EE5" w14:textId="63C09C84"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E4AFD">
        <w:rPr>
          <w:rFonts w:ascii="Arial" w:hAnsi="Arial" w:cs="Arial"/>
          <w:b/>
        </w:rPr>
        <w:t>Capability handling for MPQUIC-IP and MPQUIC-E</w:t>
      </w:r>
      <w:r w:rsidR="001813DC">
        <w:rPr>
          <w:rFonts w:ascii="Arial" w:hAnsi="Arial" w:cs="Arial"/>
          <w:b/>
        </w:rPr>
        <w:t xml:space="preserve"> </w:t>
      </w:r>
    </w:p>
    <w:p w14:paraId="32F50DBC"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E1CB744" w14:textId="57248AF8"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A562B">
        <w:rPr>
          <w:rFonts w:ascii="Arial" w:hAnsi="Arial" w:cs="Arial"/>
          <w:b/>
        </w:rPr>
        <w:t>19.13</w:t>
      </w:r>
      <w:r w:rsidR="00864249">
        <w:rPr>
          <w:rFonts w:ascii="Arial" w:hAnsi="Arial" w:cs="Arial"/>
          <w:b/>
        </w:rPr>
        <w:t>.2</w:t>
      </w:r>
    </w:p>
    <w:p w14:paraId="2EAFA0F8" w14:textId="2048EC83"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DE4AFD">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DE4AFD">
        <w:rPr>
          <w:rFonts w:ascii="Arial" w:hAnsi="Arial" w:cs="Arial"/>
          <w:b/>
        </w:rPr>
        <w:t>9</w:t>
      </w:r>
    </w:p>
    <w:p w14:paraId="22BF07E9" w14:textId="361C24B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DE4AFD">
        <w:rPr>
          <w:rFonts w:ascii="Arial" w:hAnsi="Arial" w:cs="Arial"/>
          <w:i/>
        </w:rPr>
        <w:t xml:space="preserve"> the capability negotiation for the new steering functionalities.</w:t>
      </w:r>
    </w:p>
    <w:p w14:paraId="159F49DE" w14:textId="5BE441E8" w:rsidR="000272B6" w:rsidRDefault="00121062" w:rsidP="000272B6">
      <w:pPr>
        <w:pStyle w:val="Heading1"/>
        <w:rPr>
          <w:rFonts w:ascii="Calibri" w:eastAsia="Malgun Gothic" w:hAnsi="Calibri" w:cs="Calibri"/>
          <w:sz w:val="22"/>
          <w:szCs w:val="22"/>
          <w:lang w:val="en-US" w:eastAsia="ko-KR"/>
        </w:rPr>
      </w:pPr>
      <w:r>
        <w:t>Background</w:t>
      </w:r>
    </w:p>
    <w:p w14:paraId="26693A35" w14:textId="230C82FB" w:rsidR="00B12C14" w:rsidRPr="00121062" w:rsidRDefault="00B12C14" w:rsidP="00BE60EE">
      <w:pPr>
        <w:rPr>
          <w:lang w:val="en-US" w:eastAsia="ko-KR"/>
        </w:rPr>
      </w:pPr>
      <w:r>
        <w:rPr>
          <w:lang w:val="en-US" w:eastAsia="ko-KR"/>
        </w:rPr>
        <w:t>For IP PDU Sessions</w:t>
      </w:r>
      <w:r w:rsidR="00C44BD2">
        <w:rPr>
          <w:lang w:val="en-US" w:eastAsia="ko-KR"/>
        </w:rPr>
        <w:t xml:space="preserve"> in rel-16 – rel-18</w:t>
      </w:r>
      <w:r>
        <w:rPr>
          <w:lang w:val="en-US" w:eastAsia="ko-KR"/>
        </w:rPr>
        <w:t xml:space="preserve">, there is no </w:t>
      </w:r>
      <w:r w:rsidR="00E6385F">
        <w:rPr>
          <w:lang w:val="en-US" w:eastAsia="ko-KR"/>
        </w:rPr>
        <w:t xml:space="preserve">mandatory Steering functionality, </w:t>
      </w:r>
      <w:r w:rsidRPr="00121062">
        <w:rPr>
          <w:lang w:val="en-US" w:eastAsia="ko-KR"/>
        </w:rPr>
        <w:t>but MPTCP and MPQUIC are bundled with ATSSS-LL Active-Standby.</w:t>
      </w:r>
      <w:r w:rsidR="00C44BD2">
        <w:rPr>
          <w:lang w:val="en-US" w:eastAsia="ko-KR"/>
        </w:rPr>
        <w:t xml:space="preserve"> W</w:t>
      </w:r>
      <w:r w:rsidRPr="00121062">
        <w:rPr>
          <w:lang w:val="en-US" w:eastAsia="ko-KR"/>
        </w:rPr>
        <w:t>hen MPTCP and/or MPQUIC is supported, the PCF generates a lowest precedence catch-all rule that uses ATSSS-LL</w:t>
      </w:r>
      <w:r w:rsidR="00C44BD2">
        <w:rPr>
          <w:lang w:val="en-US" w:eastAsia="ko-KR"/>
        </w:rPr>
        <w:t xml:space="preserve"> with Active Standby</w:t>
      </w:r>
      <w:r w:rsidRPr="00121062">
        <w:rPr>
          <w:lang w:val="en-US" w:eastAsia="ko-KR"/>
        </w:rPr>
        <w:t>. The technical reason is that MPTCP and MPQUIC can only handle TCP and UDP traffic</w:t>
      </w:r>
      <w:r w:rsidR="00E6385F">
        <w:rPr>
          <w:lang w:val="en-US" w:eastAsia="ko-KR"/>
        </w:rPr>
        <w:t xml:space="preserve"> and there is thus a need to have a way to handle non-MPTCP and non-MPQUIC traffic. However, with MPQUIC-IP there is no such technical reason.</w:t>
      </w:r>
    </w:p>
    <w:p w14:paraId="72B4F1E6" w14:textId="35F11066" w:rsidR="00121062" w:rsidRDefault="00E6385F" w:rsidP="00BE60EE">
      <w:pPr>
        <w:rPr>
          <w:lang w:val="en-US" w:eastAsia="ko-KR"/>
        </w:rPr>
      </w:pPr>
      <w:r>
        <w:rPr>
          <w:lang w:val="en-US" w:eastAsia="ko-KR"/>
        </w:rPr>
        <w:t xml:space="preserve">For Ethernet PDU Sessions </w:t>
      </w:r>
      <w:r w:rsidR="00C44BD2">
        <w:rPr>
          <w:lang w:val="en-US" w:eastAsia="ko-KR"/>
        </w:rPr>
        <w:t xml:space="preserve">in rel-16 – rel-18, </w:t>
      </w:r>
      <w:r>
        <w:rPr>
          <w:lang w:val="en-US" w:eastAsia="ko-KR"/>
        </w:rPr>
        <w:t>o</w:t>
      </w:r>
      <w:r w:rsidR="00121062" w:rsidRPr="00121062">
        <w:rPr>
          <w:lang w:val="en-US" w:eastAsia="ko-KR"/>
        </w:rPr>
        <w:t xml:space="preserve">nly a single steering </w:t>
      </w:r>
      <w:r w:rsidRPr="00121062">
        <w:rPr>
          <w:lang w:val="en-US" w:eastAsia="ko-KR"/>
        </w:rPr>
        <w:t>func</w:t>
      </w:r>
      <w:r>
        <w:rPr>
          <w:lang w:val="en-US" w:eastAsia="ko-KR"/>
        </w:rPr>
        <w:t>tionality</w:t>
      </w:r>
      <w:r w:rsidR="00121062" w:rsidRPr="00121062">
        <w:rPr>
          <w:lang w:val="en-US" w:eastAsia="ko-KR"/>
        </w:rPr>
        <w:t xml:space="preserve"> (ATSSS-LL)</w:t>
      </w:r>
      <w:r>
        <w:rPr>
          <w:lang w:val="en-US" w:eastAsia="ko-KR"/>
        </w:rPr>
        <w:t xml:space="preserve"> has so far been defined</w:t>
      </w:r>
      <w:r w:rsidR="00BE60EE">
        <w:rPr>
          <w:lang w:val="en-US" w:eastAsia="ko-KR"/>
        </w:rPr>
        <w:t xml:space="preserve"> and in our understanding, this is the reason </w:t>
      </w:r>
      <w:r w:rsidR="00121062" w:rsidRPr="00121062">
        <w:rPr>
          <w:lang w:val="en-US" w:eastAsia="ko-KR"/>
        </w:rPr>
        <w:t xml:space="preserve">it was categorized as mandatory. </w:t>
      </w:r>
      <w:r w:rsidR="00BE60EE">
        <w:rPr>
          <w:lang w:val="en-US" w:eastAsia="ko-KR"/>
        </w:rPr>
        <w:t>However, with the introduction MPQUIC-E, ATSSS-LL is no longer the only option</w:t>
      </w:r>
      <w:r w:rsidR="00121062" w:rsidRPr="00121062">
        <w:rPr>
          <w:lang w:val="en-US" w:eastAsia="ko-KR"/>
        </w:rPr>
        <w:t>.</w:t>
      </w:r>
    </w:p>
    <w:p w14:paraId="7E99C642" w14:textId="6D0BA540" w:rsidR="000C6007" w:rsidRPr="00121062" w:rsidRDefault="000C6007" w:rsidP="00BE60EE">
      <w:pPr>
        <w:rPr>
          <w:lang w:val="en-US" w:eastAsia="ko-KR"/>
        </w:rPr>
      </w:pPr>
      <w:r>
        <w:rPr>
          <w:lang w:val="en-US" w:eastAsia="ko-KR"/>
        </w:rPr>
        <w:t xml:space="preserve">Release 19 introduced new MPQUIC based steering functionalities for both IP and Ethernet PDU which can be used for both IP and Ethernet traffic. This is why in this Release ATSSS-LL is not any longer the only steering functionality which can be used to handle either the IP and/or Ethernet traffic in its entirety. </w:t>
      </w:r>
    </w:p>
    <w:p w14:paraId="1AE1836C" w14:textId="56B142CF" w:rsidR="00A9318F" w:rsidRDefault="00121062" w:rsidP="00BE60EE">
      <w:pPr>
        <w:rPr>
          <w:b/>
          <w:bCs/>
          <w:lang w:val="en-US" w:eastAsia="ko-KR"/>
        </w:rPr>
      </w:pPr>
      <w:r w:rsidRPr="00BE60EE">
        <w:rPr>
          <w:b/>
          <w:bCs/>
          <w:lang w:val="en-US" w:eastAsia="ko-KR"/>
        </w:rPr>
        <w:t>Observation</w:t>
      </w:r>
      <w:r w:rsidR="00DB602F">
        <w:rPr>
          <w:b/>
          <w:bCs/>
          <w:lang w:val="en-US" w:eastAsia="ko-KR"/>
        </w:rPr>
        <w:t xml:space="preserve"> 1</w:t>
      </w:r>
      <w:r w:rsidRPr="00BE60EE">
        <w:rPr>
          <w:b/>
          <w:bCs/>
          <w:lang w:val="en-US" w:eastAsia="ko-KR"/>
        </w:rPr>
        <w:t xml:space="preserve">: There is no </w:t>
      </w:r>
      <w:r w:rsidRPr="00AD4EB7">
        <w:rPr>
          <w:b/>
          <w:bCs/>
          <w:i/>
          <w:iCs/>
          <w:lang w:val="en-US" w:eastAsia="ko-KR"/>
        </w:rPr>
        <w:t>technical</w:t>
      </w:r>
      <w:r w:rsidRPr="00BE60EE">
        <w:rPr>
          <w:b/>
          <w:bCs/>
          <w:lang w:val="en-US" w:eastAsia="ko-KR"/>
        </w:rPr>
        <w:t xml:space="preserve"> reason anymore in rel-19 for mandating ATSSS</w:t>
      </w:r>
      <w:r w:rsidR="008A5A88">
        <w:rPr>
          <w:b/>
          <w:bCs/>
          <w:lang w:val="en-US" w:eastAsia="ko-KR"/>
        </w:rPr>
        <w:t>-LL</w:t>
      </w:r>
      <w:r w:rsidRPr="00BE60EE">
        <w:rPr>
          <w:b/>
          <w:bCs/>
          <w:lang w:val="en-US" w:eastAsia="ko-KR"/>
        </w:rPr>
        <w:t xml:space="preserve"> (for Ethernet)</w:t>
      </w:r>
      <w:r w:rsidR="00B13CD2">
        <w:rPr>
          <w:b/>
          <w:bCs/>
          <w:lang w:val="en-US" w:eastAsia="ko-KR"/>
        </w:rPr>
        <w:t xml:space="preserve"> or</w:t>
      </w:r>
      <w:r w:rsidRPr="00BE60EE">
        <w:rPr>
          <w:b/>
          <w:bCs/>
          <w:lang w:val="en-US" w:eastAsia="ko-KR"/>
        </w:rPr>
        <w:t xml:space="preserve"> bundling MPQUIC-</w:t>
      </w:r>
      <w:r w:rsidR="00B13CD2">
        <w:rPr>
          <w:b/>
          <w:bCs/>
          <w:lang w:val="en-US" w:eastAsia="ko-KR"/>
        </w:rPr>
        <w:t>E or MPQUIC-IP</w:t>
      </w:r>
      <w:r w:rsidRPr="00BE60EE">
        <w:rPr>
          <w:b/>
          <w:bCs/>
          <w:lang w:val="en-US" w:eastAsia="ko-KR"/>
        </w:rPr>
        <w:t xml:space="preserve"> with ATSSS-LL Active-Standby.</w:t>
      </w:r>
    </w:p>
    <w:p w14:paraId="76FE35B3" w14:textId="00961AA1" w:rsidR="00AD4EB7" w:rsidRDefault="00AD4EB7" w:rsidP="00AD4EB7">
      <w:pPr>
        <w:pStyle w:val="Heading1"/>
        <w:rPr>
          <w:lang w:val="en-US" w:eastAsia="ko-KR"/>
        </w:rPr>
      </w:pPr>
      <w:r>
        <w:rPr>
          <w:lang w:val="en-US" w:eastAsia="ko-KR"/>
        </w:rPr>
        <w:t>Discussion</w:t>
      </w:r>
    </w:p>
    <w:p w14:paraId="3C661D08" w14:textId="2C8C22DF" w:rsidR="00B63879" w:rsidRDefault="00B63879" w:rsidP="00B63879">
      <w:pPr>
        <w:pStyle w:val="Heading5"/>
        <w:rPr>
          <w:lang w:val="en-US" w:eastAsia="ko-KR"/>
        </w:rPr>
      </w:pPr>
      <w:r>
        <w:rPr>
          <w:lang w:val="en-US" w:eastAsia="ko-KR"/>
        </w:rPr>
        <w:t>Mandatory steering functionalities</w:t>
      </w:r>
    </w:p>
    <w:p w14:paraId="1A58B8C5" w14:textId="48994E85" w:rsidR="00AD4EB7" w:rsidRDefault="00E872B1" w:rsidP="00AD4EB7">
      <w:pPr>
        <w:rPr>
          <w:lang w:val="en-US" w:eastAsia="ko-KR"/>
        </w:rPr>
      </w:pPr>
      <w:r>
        <w:rPr>
          <w:lang w:val="en-US" w:eastAsia="ko-KR"/>
        </w:rPr>
        <w:t xml:space="preserve">It was discussed at SA2#165 whether </w:t>
      </w:r>
      <w:r w:rsidR="00837261">
        <w:rPr>
          <w:lang w:val="en-US" w:eastAsia="ko-KR"/>
        </w:rPr>
        <w:t xml:space="preserve">and what </w:t>
      </w:r>
      <w:r w:rsidR="008165B6">
        <w:rPr>
          <w:lang w:val="en-US" w:eastAsia="ko-KR"/>
        </w:rPr>
        <w:t xml:space="preserve">steering functionalities </w:t>
      </w:r>
      <w:r w:rsidR="00837261">
        <w:rPr>
          <w:lang w:val="en-US" w:eastAsia="ko-KR"/>
        </w:rPr>
        <w:t xml:space="preserve">that should be considered mandatory </w:t>
      </w:r>
      <w:r w:rsidR="008165B6">
        <w:rPr>
          <w:lang w:val="en-US" w:eastAsia="ko-KR"/>
        </w:rPr>
        <w:t>in rel-19</w:t>
      </w:r>
      <w:r w:rsidR="00837261">
        <w:rPr>
          <w:lang w:val="en-US" w:eastAsia="ko-KR"/>
        </w:rPr>
        <w:t>.</w:t>
      </w:r>
    </w:p>
    <w:p w14:paraId="5F37179E" w14:textId="47AD157C" w:rsidR="008165B6" w:rsidRPr="008165B6" w:rsidRDefault="008165B6" w:rsidP="008165B6">
      <w:pPr>
        <w:rPr>
          <w:lang w:val="en-US" w:eastAsia="ko-KR"/>
        </w:rPr>
      </w:pPr>
      <w:r w:rsidRPr="008165B6">
        <w:rPr>
          <w:lang w:val="en-US" w:eastAsia="ko-KR"/>
        </w:rPr>
        <w:t xml:space="preserve">Mandating steering functionality </w:t>
      </w:r>
      <w:r w:rsidR="003415E5">
        <w:rPr>
          <w:lang w:val="en-US" w:eastAsia="ko-KR"/>
        </w:rPr>
        <w:t>may simplify</w:t>
      </w:r>
      <w:r w:rsidRPr="008165B6">
        <w:rPr>
          <w:lang w:val="en-US" w:eastAsia="ko-KR"/>
        </w:rPr>
        <w:t xml:space="preserve"> </w:t>
      </w:r>
      <w:r w:rsidR="003415E5">
        <w:rPr>
          <w:lang w:val="en-US" w:eastAsia="ko-KR"/>
        </w:rPr>
        <w:t xml:space="preserve">interoperability but it also creates </w:t>
      </w:r>
      <w:r w:rsidRPr="008165B6">
        <w:rPr>
          <w:lang w:val="en-US" w:eastAsia="ko-KR"/>
        </w:rPr>
        <w:t xml:space="preserve">complexity. </w:t>
      </w:r>
      <w:r w:rsidR="003415E5">
        <w:rPr>
          <w:lang w:val="en-US" w:eastAsia="ko-KR"/>
        </w:rPr>
        <w:t xml:space="preserve">A </w:t>
      </w:r>
      <w:r w:rsidR="00E33EDA">
        <w:rPr>
          <w:lang w:val="en-US" w:eastAsia="ko-KR"/>
        </w:rPr>
        <w:t xml:space="preserve">basic simple mandatory steering functionality (e.g. ATSSS-LL with Active Standby) could be </w:t>
      </w:r>
      <w:r w:rsidRPr="008165B6">
        <w:rPr>
          <w:lang w:val="en-US" w:eastAsia="ko-KR"/>
        </w:rPr>
        <w:t xml:space="preserve">nice </w:t>
      </w:r>
      <w:r w:rsidR="00E33EDA">
        <w:rPr>
          <w:lang w:val="en-US" w:eastAsia="ko-KR"/>
        </w:rPr>
        <w:t>as a</w:t>
      </w:r>
      <w:r w:rsidRPr="008165B6">
        <w:rPr>
          <w:lang w:val="en-US" w:eastAsia="ko-KR"/>
        </w:rPr>
        <w:t xml:space="preserve"> lowest common denominator between UE and NW, but if a mandatory feature is not of interest for a certain use case, it just causes </w:t>
      </w:r>
      <w:r w:rsidR="00ED1E19">
        <w:rPr>
          <w:lang w:val="en-US" w:eastAsia="ko-KR"/>
        </w:rPr>
        <w:t xml:space="preserve">implementation </w:t>
      </w:r>
      <w:r w:rsidRPr="008165B6">
        <w:rPr>
          <w:lang w:val="en-US" w:eastAsia="ko-KR"/>
        </w:rPr>
        <w:t xml:space="preserve">complexity and cost. In those </w:t>
      </w:r>
      <w:r w:rsidR="003415E5" w:rsidRPr="008165B6">
        <w:rPr>
          <w:lang w:val="en-US" w:eastAsia="ko-KR"/>
        </w:rPr>
        <w:t>cases,</w:t>
      </w:r>
      <w:r w:rsidRPr="008165B6">
        <w:rPr>
          <w:lang w:val="en-US" w:eastAsia="ko-KR"/>
        </w:rPr>
        <w:t xml:space="preserve"> it may be preferable to reject a MA PDU Session request (or downgrade a MA PDU Session request to SA PDU Session)</w:t>
      </w:r>
      <w:r w:rsidR="00DB7C87">
        <w:rPr>
          <w:lang w:val="en-US" w:eastAsia="ko-KR"/>
        </w:rPr>
        <w:t xml:space="preserve"> if the desired steering functionality(</w:t>
      </w:r>
      <w:proofErr w:type="spellStart"/>
      <w:r w:rsidR="00DB7C87">
        <w:rPr>
          <w:lang w:val="en-US" w:eastAsia="ko-KR"/>
        </w:rPr>
        <w:t>ies</w:t>
      </w:r>
      <w:proofErr w:type="spellEnd"/>
      <w:r w:rsidR="00DB7C87">
        <w:rPr>
          <w:lang w:val="en-US" w:eastAsia="ko-KR"/>
        </w:rPr>
        <w:t>) is not supported</w:t>
      </w:r>
      <w:r w:rsidRPr="008165B6">
        <w:rPr>
          <w:lang w:val="en-US" w:eastAsia="ko-KR"/>
        </w:rPr>
        <w:t>.</w:t>
      </w:r>
    </w:p>
    <w:p w14:paraId="5F91FE2F" w14:textId="15DE3123" w:rsidR="008165B6" w:rsidRPr="008165B6" w:rsidRDefault="008165B6" w:rsidP="008165B6">
      <w:pPr>
        <w:rPr>
          <w:lang w:val="en-US" w:eastAsia="ko-KR"/>
        </w:rPr>
      </w:pPr>
      <w:r w:rsidRPr="008165B6">
        <w:rPr>
          <w:lang w:val="en-US" w:eastAsia="ko-KR"/>
        </w:rPr>
        <w:t>Standards cannot force what an operator deploys/provides in the network</w:t>
      </w:r>
      <w:r w:rsidR="004B3251" w:rsidRPr="004B3251">
        <w:rPr>
          <w:lang w:val="en-US" w:eastAsia="ko-KR"/>
        </w:rPr>
        <w:t xml:space="preserve"> </w:t>
      </w:r>
      <w:r w:rsidR="004B3251">
        <w:rPr>
          <w:lang w:val="en-US" w:eastAsia="ko-KR"/>
        </w:rPr>
        <w:t>when multiple options are available</w:t>
      </w:r>
      <w:r w:rsidRPr="008165B6">
        <w:rPr>
          <w:lang w:val="en-US" w:eastAsia="ko-KR"/>
        </w:rPr>
        <w:t xml:space="preserve">. Mandating a steering functionality in the network does not make sense since it is anyway an operator decision to decide what features to purchase </w:t>
      </w:r>
      <w:r w:rsidR="00DB7C87">
        <w:rPr>
          <w:lang w:val="en-US" w:eastAsia="ko-KR"/>
        </w:rPr>
        <w:t>and</w:t>
      </w:r>
      <w:r w:rsidRPr="008165B6">
        <w:rPr>
          <w:lang w:val="en-US" w:eastAsia="ko-KR"/>
        </w:rPr>
        <w:t xml:space="preserve"> enable in a deployed network. </w:t>
      </w:r>
    </w:p>
    <w:p w14:paraId="6AE67C8E" w14:textId="77777777" w:rsidR="008E719E" w:rsidRPr="008165B6" w:rsidRDefault="008E719E" w:rsidP="008E719E">
      <w:pPr>
        <w:rPr>
          <w:lang w:val="en-US" w:eastAsia="ko-KR"/>
        </w:rPr>
      </w:pPr>
      <w:r>
        <w:rPr>
          <w:lang w:val="en-US" w:eastAsia="ko-KR"/>
        </w:rPr>
        <w:t xml:space="preserve">Furthermore, mandating a specific steering functionality like ATSSS-LL across multiple Releases when alternatives are available does not simplify neither the handset design nor the network. Such a requirement introduces an unnecessary burden for both handset and network vendors as well as on operators which would like to deploy such service starting from this Release on. </w:t>
      </w:r>
    </w:p>
    <w:p w14:paraId="7ED13F97" w14:textId="7E601F6E" w:rsidR="008165B6" w:rsidRPr="008165B6" w:rsidRDefault="0004632B" w:rsidP="008165B6">
      <w:pPr>
        <w:rPr>
          <w:lang w:val="en-US" w:eastAsia="ko-KR"/>
        </w:rPr>
      </w:pPr>
      <w:r>
        <w:rPr>
          <w:lang w:val="en-US" w:eastAsia="ko-KR"/>
        </w:rPr>
        <w:t xml:space="preserve">So far ATSSS has not seen </w:t>
      </w:r>
      <w:r w:rsidR="00646B21">
        <w:rPr>
          <w:lang w:val="en-US" w:eastAsia="ko-KR"/>
        </w:rPr>
        <w:t>a significant market adoption</w:t>
      </w:r>
      <w:r>
        <w:rPr>
          <w:lang w:val="en-US" w:eastAsia="ko-KR"/>
        </w:rPr>
        <w:t xml:space="preserve">. </w:t>
      </w:r>
      <w:r w:rsidR="008165B6" w:rsidRPr="008165B6">
        <w:rPr>
          <w:lang w:val="en-US" w:eastAsia="ko-KR"/>
        </w:rPr>
        <w:t xml:space="preserve">High baseline requirements on ATSSS functionality will likely not increase the chances for ATSSS to being supported in the </w:t>
      </w:r>
      <w:r w:rsidR="00F62E99" w:rsidRPr="008165B6">
        <w:rPr>
          <w:lang w:val="en-US" w:eastAsia="ko-KR"/>
        </w:rPr>
        <w:t>mainstream</w:t>
      </w:r>
      <w:r w:rsidR="00F62E99">
        <w:rPr>
          <w:lang w:val="en-US" w:eastAsia="ko-KR"/>
        </w:rPr>
        <w:t>.</w:t>
      </w:r>
      <w:r w:rsidR="00800211">
        <w:rPr>
          <w:lang w:val="en-US" w:eastAsia="ko-KR"/>
        </w:rPr>
        <w:t xml:space="preserve"> </w:t>
      </w:r>
    </w:p>
    <w:p w14:paraId="0E372E2A" w14:textId="55A26711" w:rsidR="008165B6" w:rsidRDefault="008165B6" w:rsidP="008165B6">
      <w:pPr>
        <w:rPr>
          <w:b/>
          <w:bCs/>
          <w:lang w:val="en-US" w:eastAsia="ko-KR"/>
        </w:rPr>
      </w:pPr>
      <w:r w:rsidRPr="00B63879">
        <w:rPr>
          <w:b/>
          <w:bCs/>
          <w:lang w:val="en-US" w:eastAsia="ko-KR"/>
        </w:rPr>
        <w:lastRenderedPageBreak/>
        <w:t>Observation</w:t>
      </w:r>
      <w:r w:rsidR="00DB602F">
        <w:rPr>
          <w:b/>
          <w:bCs/>
          <w:lang w:val="en-US" w:eastAsia="ko-KR"/>
        </w:rPr>
        <w:t xml:space="preserve"> 2</w:t>
      </w:r>
      <w:r w:rsidRPr="00B63879">
        <w:rPr>
          <w:b/>
          <w:bCs/>
          <w:lang w:val="en-US" w:eastAsia="ko-KR"/>
        </w:rPr>
        <w:t xml:space="preserve">: The mandated steering functionality should be kept to a </w:t>
      </w:r>
      <w:r w:rsidR="0004632B" w:rsidRPr="00B63879">
        <w:rPr>
          <w:b/>
          <w:bCs/>
          <w:lang w:val="en-US" w:eastAsia="ko-KR"/>
        </w:rPr>
        <w:t>minimum</w:t>
      </w:r>
      <w:r w:rsidR="00E1605F">
        <w:rPr>
          <w:b/>
          <w:bCs/>
          <w:lang w:val="en-US" w:eastAsia="ko-KR"/>
        </w:rPr>
        <w:t>. Putting burdens on UE and NW implementations and deployment will not help getting it deployed…</w:t>
      </w:r>
      <w:r w:rsidRPr="00B63879">
        <w:rPr>
          <w:b/>
          <w:bCs/>
          <w:lang w:val="en-US" w:eastAsia="ko-KR"/>
        </w:rPr>
        <w:t>.</w:t>
      </w:r>
      <w:r w:rsidR="00F779C9">
        <w:rPr>
          <w:b/>
          <w:bCs/>
          <w:lang w:val="en-US" w:eastAsia="ko-KR"/>
        </w:rPr>
        <w:t xml:space="preserve"> </w:t>
      </w:r>
    </w:p>
    <w:p w14:paraId="1FDD6DB9" w14:textId="20354D87" w:rsidR="002153B6" w:rsidRPr="002153B6" w:rsidRDefault="002153B6" w:rsidP="002153B6">
      <w:pPr>
        <w:rPr>
          <w:lang w:val="en-US" w:eastAsia="ko-KR"/>
        </w:rPr>
      </w:pPr>
      <w:r w:rsidRPr="002153B6">
        <w:rPr>
          <w:lang w:val="en-US" w:eastAsia="ko-KR"/>
        </w:rPr>
        <w:t>It has been claimed that rel-19 needs to mandate ATSSS-LL for Ethernet to be backwards compatible. However</w:t>
      </w:r>
      <w:r w:rsidR="000E5A3D">
        <w:rPr>
          <w:lang w:val="en-US" w:eastAsia="ko-KR"/>
        </w:rPr>
        <w:t>, t</w:t>
      </w:r>
      <w:r w:rsidRPr="002153B6">
        <w:rPr>
          <w:lang w:val="en-US" w:eastAsia="ko-KR"/>
        </w:rPr>
        <w:t>here is no rel-18 network out there and no rel-18 capable UEs. UE vendors and operators may decide to go directly to rel-19 for ATSSS</w:t>
      </w:r>
      <w:r w:rsidR="001E08E7">
        <w:rPr>
          <w:lang w:val="en-US" w:eastAsia="ko-KR"/>
        </w:rPr>
        <w:t>.</w:t>
      </w:r>
      <w:r w:rsidRPr="002153B6">
        <w:rPr>
          <w:lang w:val="en-US" w:eastAsia="ko-KR"/>
        </w:rPr>
        <w:t xml:space="preserve"> </w:t>
      </w:r>
      <w:r w:rsidR="001E08E7">
        <w:rPr>
          <w:lang w:val="en-US" w:eastAsia="ko-KR"/>
        </w:rPr>
        <w:t>It can also be noted that ATSSS</w:t>
      </w:r>
      <w:r w:rsidR="001E08E7" w:rsidRPr="00800211">
        <w:rPr>
          <w:lang w:val="en-US" w:eastAsia="ko-KR"/>
        </w:rPr>
        <w:t xml:space="preserve"> as such is an optional feature. </w:t>
      </w:r>
      <w:r w:rsidR="00AE5CA6">
        <w:rPr>
          <w:lang w:val="en-US" w:eastAsia="ko-KR"/>
        </w:rPr>
        <w:t xml:space="preserve">A customer with a rel-18 </w:t>
      </w:r>
      <w:r w:rsidR="00F96EE5">
        <w:rPr>
          <w:lang w:val="en-US" w:eastAsia="ko-KR"/>
        </w:rPr>
        <w:t xml:space="preserve">phone supporting ATSSS may buy a rel-19 phone that does not support ATSSS. </w:t>
      </w:r>
      <w:r w:rsidR="001E08E7" w:rsidRPr="00800211">
        <w:rPr>
          <w:lang w:val="en-US" w:eastAsia="ko-KR"/>
        </w:rPr>
        <w:t>There is n</w:t>
      </w:r>
      <w:r w:rsidR="001E08E7">
        <w:rPr>
          <w:lang w:val="en-US" w:eastAsia="ko-KR"/>
        </w:rPr>
        <w:t>o</w:t>
      </w:r>
      <w:r w:rsidR="001E08E7" w:rsidRPr="00800211">
        <w:rPr>
          <w:lang w:val="en-US" w:eastAsia="ko-KR"/>
        </w:rPr>
        <w:t xml:space="preserve"> guarantee that a network supports ATSSS in first place</w:t>
      </w:r>
      <w:r w:rsidR="001E08E7">
        <w:rPr>
          <w:lang w:val="en-US" w:eastAsia="ko-KR"/>
        </w:rPr>
        <w:t xml:space="preserve"> and no expectancy today that a legacy UE need to access ATSSS services.</w:t>
      </w:r>
      <w:r w:rsidR="00E47BDF" w:rsidRPr="00E47BDF">
        <w:rPr>
          <w:lang w:val="en-US" w:eastAsia="ko-KR"/>
        </w:rPr>
        <w:t xml:space="preserve"> </w:t>
      </w:r>
      <w:r w:rsidR="00E47BDF">
        <w:rPr>
          <w:lang w:val="en-US" w:eastAsia="ko-KR"/>
        </w:rPr>
        <w:t>Much more as we indicated earlier</w:t>
      </w:r>
      <w:r w:rsidR="00D2765C">
        <w:rPr>
          <w:lang w:val="en-US" w:eastAsia="ko-KR"/>
        </w:rPr>
        <w:t>,</w:t>
      </w:r>
      <w:r w:rsidR="00E47BDF">
        <w:rPr>
          <w:lang w:val="en-US" w:eastAsia="ko-KR"/>
        </w:rPr>
        <w:t xml:space="preserve"> mandating both UE and network to support both ATSSS-LL as well as MPQUIC -E when the operator would like to support Rel-19 features unnecessar</w:t>
      </w:r>
      <w:r w:rsidR="00D2765C">
        <w:rPr>
          <w:lang w:val="en-US" w:eastAsia="ko-KR"/>
        </w:rPr>
        <w:t>ily</w:t>
      </w:r>
      <w:r w:rsidR="00E47BDF">
        <w:rPr>
          <w:lang w:val="en-US" w:eastAsia="ko-KR"/>
        </w:rPr>
        <w:t xml:space="preserve"> increases both the UE and network implementation as well as potentially reduces the network efficiency over RAN when both steering functionalities are in use.</w:t>
      </w:r>
    </w:p>
    <w:p w14:paraId="4BB02B0C" w14:textId="727FFAF0" w:rsidR="002153B6" w:rsidRPr="00711F75" w:rsidRDefault="002153B6" w:rsidP="002153B6">
      <w:pPr>
        <w:rPr>
          <w:b/>
          <w:bCs/>
          <w:lang w:val="en-US" w:eastAsia="ko-KR"/>
        </w:rPr>
      </w:pPr>
      <w:r w:rsidRPr="00711F75">
        <w:rPr>
          <w:b/>
          <w:bCs/>
          <w:lang w:val="en-US" w:eastAsia="ko-KR"/>
        </w:rPr>
        <w:t>Observation</w:t>
      </w:r>
      <w:r w:rsidR="00DB602F">
        <w:rPr>
          <w:b/>
          <w:bCs/>
          <w:lang w:val="en-US" w:eastAsia="ko-KR"/>
        </w:rPr>
        <w:t xml:space="preserve"> 3</w:t>
      </w:r>
      <w:r w:rsidRPr="00711F75">
        <w:rPr>
          <w:b/>
          <w:bCs/>
          <w:lang w:val="en-US" w:eastAsia="ko-KR"/>
        </w:rPr>
        <w:t>: The discussion about backwards compatibility for Ethernet is theoretical</w:t>
      </w:r>
      <w:r w:rsidR="00972680">
        <w:rPr>
          <w:b/>
          <w:bCs/>
          <w:lang w:val="en-US" w:eastAsia="ko-KR"/>
        </w:rPr>
        <w:t>.</w:t>
      </w:r>
    </w:p>
    <w:p w14:paraId="5EF105D3" w14:textId="77777777" w:rsidR="00D03C64" w:rsidRDefault="00D03C64" w:rsidP="00D03C64">
      <w:pPr>
        <w:rPr>
          <w:lang w:val="en-US"/>
        </w:rPr>
      </w:pPr>
      <w:r>
        <w:rPr>
          <w:lang w:val="en-US"/>
        </w:rPr>
        <w:t xml:space="preserve">Another question is how to handle MPQUIC-UDP in case the UE also supports MPQUIC-IP. Currently, MPQUIC-UDP support is bundled with ATSSS-LL with Active-Standby. As mentioned above, the reason for this is to be able to carry non-UDP traffic. However, if MPQUIC-IP is supported, MPQUIC-IP can carry non-UDP traffic, and it would technically speaking be no need to support ATSSS-LL with Active-Standby. Similar logic applies in case MPTCP and MPQUIC-IP is supported, although such combination may be a less likely implementation. </w:t>
      </w:r>
    </w:p>
    <w:p w14:paraId="5F7952A2" w14:textId="77777777" w:rsidR="00D03C64" w:rsidRPr="006B35F6" w:rsidRDefault="00D03C64" w:rsidP="00D03C64">
      <w:pPr>
        <w:rPr>
          <w:b/>
          <w:bCs/>
          <w:lang w:val="en-US"/>
        </w:rPr>
      </w:pPr>
      <w:r w:rsidRPr="006B35F6">
        <w:rPr>
          <w:b/>
          <w:bCs/>
          <w:lang w:val="en-US"/>
        </w:rPr>
        <w:t xml:space="preserve">Observation </w:t>
      </w:r>
      <w:r>
        <w:rPr>
          <w:b/>
          <w:bCs/>
          <w:lang w:val="en-US"/>
        </w:rPr>
        <w:t>4</w:t>
      </w:r>
      <w:r w:rsidRPr="006B35F6">
        <w:rPr>
          <w:b/>
          <w:bCs/>
          <w:lang w:val="en-US"/>
        </w:rPr>
        <w:t>: In case MPQUIC-UDP and MPQUIC-IP are supported, there is no need to mandate the support for ATSSS-LL Active-Standby.</w:t>
      </w:r>
    </w:p>
    <w:p w14:paraId="2C63BAFD" w14:textId="3DF8A427" w:rsidR="002153B6" w:rsidRPr="002153B6" w:rsidRDefault="001E08E7" w:rsidP="002153B6">
      <w:pPr>
        <w:rPr>
          <w:lang w:val="en-US" w:eastAsia="ko-KR"/>
        </w:rPr>
      </w:pPr>
      <w:r>
        <w:rPr>
          <w:lang w:val="en-US" w:eastAsia="ko-KR"/>
        </w:rPr>
        <w:t>I</w:t>
      </w:r>
      <w:r w:rsidR="002153B6" w:rsidRPr="002153B6">
        <w:rPr>
          <w:lang w:val="en-US" w:eastAsia="ko-KR"/>
        </w:rPr>
        <w:t xml:space="preserve">t has </w:t>
      </w:r>
      <w:r>
        <w:rPr>
          <w:lang w:val="en-US" w:eastAsia="ko-KR"/>
        </w:rPr>
        <w:t xml:space="preserve">also </w:t>
      </w:r>
      <w:r w:rsidR="002153B6" w:rsidRPr="002153B6">
        <w:rPr>
          <w:lang w:val="en-US" w:eastAsia="ko-KR"/>
        </w:rPr>
        <w:t>been discussed that rel-19 needs to allow a fallback to ATSSS-LL Active-Standby for IP</w:t>
      </w:r>
      <w:r>
        <w:rPr>
          <w:lang w:val="en-US" w:eastAsia="ko-KR"/>
        </w:rPr>
        <w:t>-based PDU Sessions</w:t>
      </w:r>
      <w:r w:rsidR="002153B6" w:rsidRPr="002153B6">
        <w:rPr>
          <w:lang w:val="en-US" w:eastAsia="ko-KR"/>
        </w:rPr>
        <w:t>, in</w:t>
      </w:r>
      <w:r>
        <w:rPr>
          <w:lang w:val="en-US" w:eastAsia="ko-KR"/>
        </w:rPr>
        <w:t xml:space="preserve"> </w:t>
      </w:r>
      <w:r w:rsidR="002153B6" w:rsidRPr="002153B6">
        <w:rPr>
          <w:lang w:val="en-US" w:eastAsia="ko-KR"/>
        </w:rPr>
        <w:t>case there is no common support of MPT</w:t>
      </w:r>
      <w:r w:rsidR="00992E23">
        <w:rPr>
          <w:lang w:val="en-US" w:eastAsia="ko-KR"/>
        </w:rPr>
        <w:t>C</w:t>
      </w:r>
      <w:r w:rsidR="002153B6" w:rsidRPr="002153B6">
        <w:rPr>
          <w:lang w:val="en-US" w:eastAsia="ko-KR"/>
        </w:rPr>
        <w:t xml:space="preserve">P, MPQUIC-UDP, MPQUIC-IP between UE and NW. </w:t>
      </w:r>
      <w:r>
        <w:rPr>
          <w:lang w:val="en-US" w:eastAsia="ko-KR"/>
        </w:rPr>
        <w:t xml:space="preserve">To enable that, the </w:t>
      </w:r>
      <w:r w:rsidR="002153B6" w:rsidRPr="002153B6">
        <w:rPr>
          <w:lang w:val="en-US" w:eastAsia="ko-KR"/>
        </w:rPr>
        <w:t xml:space="preserve">MPQUIC-IP </w:t>
      </w:r>
      <w:r>
        <w:rPr>
          <w:lang w:val="en-US" w:eastAsia="ko-KR"/>
        </w:rPr>
        <w:t>capability should</w:t>
      </w:r>
      <w:r w:rsidR="002153B6" w:rsidRPr="002153B6">
        <w:rPr>
          <w:lang w:val="en-US" w:eastAsia="ko-KR"/>
        </w:rPr>
        <w:t xml:space="preserve"> be bundled with ATSSS-LL Active-Standby.</w:t>
      </w:r>
    </w:p>
    <w:p w14:paraId="42DB7E93" w14:textId="068CE173" w:rsidR="002153B6" w:rsidRPr="002153B6" w:rsidRDefault="001E08E7" w:rsidP="002153B6">
      <w:pPr>
        <w:rPr>
          <w:lang w:val="en-US" w:eastAsia="ko-KR"/>
        </w:rPr>
      </w:pPr>
      <w:r>
        <w:rPr>
          <w:lang w:val="en-US" w:eastAsia="ko-KR"/>
        </w:rPr>
        <w:t>Such fallback is however</w:t>
      </w:r>
      <w:r w:rsidR="002153B6" w:rsidRPr="002153B6">
        <w:rPr>
          <w:lang w:val="en-US" w:eastAsia="ko-KR"/>
        </w:rPr>
        <w:t xml:space="preserve"> not possible in rel-16</w:t>
      </w:r>
      <w:r>
        <w:rPr>
          <w:lang w:val="en-US" w:eastAsia="ko-KR"/>
        </w:rPr>
        <w:t>-</w:t>
      </w:r>
      <w:r w:rsidR="002153B6" w:rsidRPr="002153B6">
        <w:rPr>
          <w:lang w:val="en-US" w:eastAsia="ko-KR"/>
        </w:rPr>
        <w:t>18</w:t>
      </w:r>
      <w:r w:rsidR="00711F75">
        <w:rPr>
          <w:lang w:val="en-US" w:eastAsia="ko-KR"/>
        </w:rPr>
        <w:t xml:space="preserve"> and t</w:t>
      </w:r>
      <w:r w:rsidR="002153B6" w:rsidRPr="002153B6">
        <w:rPr>
          <w:lang w:val="en-US" w:eastAsia="ko-KR"/>
        </w:rPr>
        <w:t xml:space="preserve">he handling of mismatch cases between UE and NW capabilities have not been addressed in </w:t>
      </w:r>
      <w:r w:rsidR="00711F75">
        <w:rPr>
          <w:lang w:val="en-US" w:eastAsia="ko-KR"/>
        </w:rPr>
        <w:t xml:space="preserve">previous releases. </w:t>
      </w:r>
      <w:r w:rsidR="00992E23">
        <w:rPr>
          <w:lang w:val="en-US" w:eastAsia="ko-KR"/>
        </w:rPr>
        <w:t xml:space="preserve">I.e. it is not used as a fallback in rel-16-18, it is just used </w:t>
      </w:r>
      <w:proofErr w:type="gramStart"/>
      <w:r w:rsidR="00992E23">
        <w:rPr>
          <w:lang w:val="en-US" w:eastAsia="ko-KR"/>
        </w:rPr>
        <w:t>as a way to</w:t>
      </w:r>
      <w:proofErr w:type="gramEnd"/>
      <w:r w:rsidR="00992E23">
        <w:rPr>
          <w:lang w:val="en-US" w:eastAsia="ko-KR"/>
        </w:rPr>
        <w:t xml:space="preserve"> handle non-MPTCP/non-MPQUIC traffic. </w:t>
      </w:r>
      <w:r w:rsidR="00711F75">
        <w:rPr>
          <w:lang w:val="en-US" w:eastAsia="ko-KR"/>
        </w:rPr>
        <w:t>Furthermore, even</w:t>
      </w:r>
      <w:r w:rsidR="002153B6" w:rsidRPr="002153B6">
        <w:rPr>
          <w:lang w:val="en-US" w:eastAsia="ko-KR"/>
        </w:rPr>
        <w:t xml:space="preserve"> if fallback is </w:t>
      </w:r>
      <w:r w:rsidR="00711F75" w:rsidRPr="002153B6">
        <w:rPr>
          <w:lang w:val="en-US" w:eastAsia="ko-KR"/>
        </w:rPr>
        <w:t>possible,</w:t>
      </w:r>
      <w:r w:rsidR="002153B6" w:rsidRPr="002153B6">
        <w:rPr>
          <w:lang w:val="en-US" w:eastAsia="ko-KR"/>
        </w:rPr>
        <w:t xml:space="preserve"> it may not be desirable. </w:t>
      </w:r>
    </w:p>
    <w:p w14:paraId="383BCB9F" w14:textId="014B361B" w:rsidR="002153B6" w:rsidRDefault="002153B6" w:rsidP="002153B6">
      <w:pPr>
        <w:rPr>
          <w:b/>
          <w:bCs/>
          <w:lang w:val="en-US" w:eastAsia="ko-KR"/>
        </w:rPr>
      </w:pPr>
      <w:r w:rsidRPr="00711F75">
        <w:rPr>
          <w:b/>
          <w:bCs/>
          <w:lang w:val="en-US" w:eastAsia="ko-KR"/>
        </w:rPr>
        <w:t>Observation</w:t>
      </w:r>
      <w:r w:rsidR="00DB602F">
        <w:rPr>
          <w:b/>
          <w:bCs/>
          <w:lang w:val="en-US" w:eastAsia="ko-KR"/>
        </w:rPr>
        <w:t xml:space="preserve"> </w:t>
      </w:r>
      <w:r w:rsidR="00B94ECF">
        <w:rPr>
          <w:b/>
          <w:bCs/>
          <w:lang w:val="en-US" w:eastAsia="ko-KR"/>
        </w:rPr>
        <w:t>5</w:t>
      </w:r>
      <w:r w:rsidRPr="00711F75">
        <w:rPr>
          <w:b/>
          <w:bCs/>
          <w:lang w:val="en-US" w:eastAsia="ko-KR"/>
        </w:rPr>
        <w:t xml:space="preserve">: Using ATSSS-LL with Active-Standby as a fallback option could be possible, but the use case and benefit </w:t>
      </w:r>
      <w:r w:rsidR="00711F75" w:rsidRPr="00711F75">
        <w:rPr>
          <w:b/>
          <w:bCs/>
          <w:lang w:val="en-US" w:eastAsia="ko-KR"/>
        </w:rPr>
        <w:t>are</w:t>
      </w:r>
      <w:r w:rsidRPr="00711F75">
        <w:rPr>
          <w:b/>
          <w:bCs/>
          <w:lang w:val="en-US" w:eastAsia="ko-KR"/>
        </w:rPr>
        <w:t xml:space="preserve"> not so clear. </w:t>
      </w:r>
      <w:r w:rsidR="00711F75" w:rsidRPr="00711F75">
        <w:rPr>
          <w:b/>
          <w:bCs/>
          <w:lang w:val="en-US" w:eastAsia="ko-KR"/>
        </w:rPr>
        <w:t>If there is a mismatch, i</w:t>
      </w:r>
      <w:r w:rsidRPr="00711F75">
        <w:rPr>
          <w:b/>
          <w:bCs/>
          <w:lang w:val="en-US" w:eastAsia="ko-KR"/>
        </w:rPr>
        <w:t>t may be better to simply reject the MA PDU Session</w:t>
      </w:r>
      <w:r w:rsidR="009B5798">
        <w:rPr>
          <w:b/>
          <w:bCs/>
          <w:lang w:val="en-US" w:eastAsia="ko-KR"/>
        </w:rPr>
        <w:t xml:space="preserve"> </w:t>
      </w:r>
      <w:r w:rsidRPr="00711F75">
        <w:rPr>
          <w:b/>
          <w:bCs/>
          <w:lang w:val="en-US" w:eastAsia="ko-KR"/>
        </w:rPr>
        <w:t xml:space="preserve">or </w:t>
      </w:r>
      <w:r w:rsidR="009B5798">
        <w:rPr>
          <w:b/>
          <w:bCs/>
          <w:lang w:val="en-US" w:eastAsia="ko-KR"/>
        </w:rPr>
        <w:t>accept the session as</w:t>
      </w:r>
      <w:r w:rsidRPr="00711F75">
        <w:rPr>
          <w:b/>
          <w:bCs/>
          <w:lang w:val="en-US" w:eastAsia="ko-KR"/>
        </w:rPr>
        <w:t xml:space="preserve"> a </w:t>
      </w:r>
      <w:r w:rsidR="009B5798">
        <w:rPr>
          <w:b/>
          <w:bCs/>
          <w:lang w:val="en-US" w:eastAsia="ko-KR"/>
        </w:rPr>
        <w:t>single-access</w:t>
      </w:r>
      <w:r w:rsidRPr="00711F75">
        <w:rPr>
          <w:b/>
          <w:bCs/>
          <w:lang w:val="en-US" w:eastAsia="ko-KR"/>
        </w:rPr>
        <w:t xml:space="preserve"> PDU Session.</w:t>
      </w:r>
    </w:p>
    <w:p w14:paraId="587B7B6F" w14:textId="77777777" w:rsidR="008F4EDF" w:rsidRDefault="008F4EDF" w:rsidP="008F4EDF">
      <w:pPr>
        <w:pStyle w:val="Heading1"/>
      </w:pPr>
      <w:r>
        <w:t>Proposal</w:t>
      </w:r>
    </w:p>
    <w:bookmarkEnd w:id="0"/>
    <w:bookmarkEnd w:id="1"/>
    <w:p w14:paraId="4D48CC82" w14:textId="6B1F3FA9" w:rsidR="00A948AB" w:rsidRDefault="00A948AB" w:rsidP="00BA7D0D">
      <w:r>
        <w:t>In our view</w:t>
      </w:r>
      <w:r w:rsidR="00BA7D0D">
        <w:t xml:space="preserve"> (for rel-19)</w:t>
      </w:r>
      <w:r>
        <w:t>:</w:t>
      </w:r>
    </w:p>
    <w:p w14:paraId="416592C1" w14:textId="1E2C47B4" w:rsidR="00A948AB" w:rsidRDefault="00A948AB" w:rsidP="00A948AB">
      <w:pPr>
        <w:pStyle w:val="B1"/>
      </w:pPr>
      <w:r>
        <w:t xml:space="preserve">- </w:t>
      </w:r>
      <w:r>
        <w:tab/>
      </w:r>
      <w:r w:rsidR="00362C19">
        <w:t xml:space="preserve">ATSSS-LL </w:t>
      </w:r>
      <w:r w:rsidR="00720C25">
        <w:t xml:space="preserve">with any steering mode </w:t>
      </w:r>
      <w:r w:rsidR="00362C19">
        <w:t>should not be mandated for Ethernet PDU Sessions</w:t>
      </w:r>
      <w:r w:rsidR="003F31A6">
        <w:t>.</w:t>
      </w:r>
    </w:p>
    <w:p w14:paraId="155EA828" w14:textId="77E4817F" w:rsidR="00362C19" w:rsidRDefault="00362C19" w:rsidP="00A948AB">
      <w:pPr>
        <w:pStyle w:val="B1"/>
      </w:pPr>
      <w:r>
        <w:t xml:space="preserve">- </w:t>
      </w:r>
      <w:r>
        <w:tab/>
        <w:t>MPQUIC-E and MPQUIC-IP should be defined as “standalone” capabilities</w:t>
      </w:r>
      <w:r w:rsidR="003F31A6">
        <w:t>.</w:t>
      </w:r>
      <w:r>
        <w:t xml:space="preserve"> </w:t>
      </w:r>
    </w:p>
    <w:p w14:paraId="6DAFDD34" w14:textId="65B1B159" w:rsidR="00B94ECF" w:rsidRDefault="00B94ECF" w:rsidP="00A948AB">
      <w:pPr>
        <w:pStyle w:val="B1"/>
      </w:pPr>
      <w:r>
        <w:t xml:space="preserve">- </w:t>
      </w:r>
      <w:r>
        <w:tab/>
      </w:r>
      <w:r w:rsidR="00852F60" w:rsidRPr="00852F60">
        <w:t>In case MPQUIC-UDP and MPQUIC-IP are supported</w:t>
      </w:r>
      <w:r w:rsidR="00852F60">
        <w:t>, there is no need to bundle</w:t>
      </w:r>
      <w:r w:rsidR="002A38D0">
        <w:t xml:space="preserve"> </w:t>
      </w:r>
      <w:r w:rsidR="003C6514">
        <w:t>MPQUIC-UDP</w:t>
      </w:r>
      <w:r w:rsidR="002A38D0">
        <w:t xml:space="preserve"> with ATSSS-LL with Active-Standby</w:t>
      </w:r>
      <w:r w:rsidR="003C6514">
        <w:t>. Similarly, i</w:t>
      </w:r>
      <w:r w:rsidR="003C6514" w:rsidRPr="00852F60">
        <w:t>n case MP</w:t>
      </w:r>
      <w:r w:rsidR="003C6514">
        <w:t>TCP</w:t>
      </w:r>
      <w:r w:rsidR="003C6514" w:rsidRPr="00852F60">
        <w:t xml:space="preserve"> and MPQUIC-IP are supported</w:t>
      </w:r>
      <w:r w:rsidR="003C6514">
        <w:t>, there is no need to bundle MPTCP with ATSSS-LL Active-Standby.</w:t>
      </w:r>
    </w:p>
    <w:p w14:paraId="35247F2D" w14:textId="77777777" w:rsidR="00C231FD" w:rsidRDefault="00362C19" w:rsidP="00C231FD">
      <w:pPr>
        <w:pStyle w:val="B1"/>
      </w:pPr>
      <w:r>
        <w:t xml:space="preserve">- </w:t>
      </w:r>
      <w:r>
        <w:tab/>
      </w:r>
      <w:r w:rsidR="00BE30EC">
        <w:t>In addition to the MPQUIC-E and MPQUIC-IP “standalone” capabilities, a</w:t>
      </w:r>
      <w:r w:rsidR="009F606D">
        <w:t xml:space="preserve">n option could </w:t>
      </w:r>
      <w:r w:rsidR="00BE30EC">
        <w:t xml:space="preserve">be to </w:t>
      </w:r>
      <w:r w:rsidR="009F606D">
        <w:t xml:space="preserve">also </w:t>
      </w:r>
      <w:r w:rsidR="00720C25">
        <w:t xml:space="preserve">define </w:t>
      </w:r>
      <w:r w:rsidR="009F606D">
        <w:t>capabilities</w:t>
      </w:r>
      <w:r w:rsidR="00720C25">
        <w:t xml:space="preserve"> that </w:t>
      </w:r>
      <w:r w:rsidR="00BA7D0D">
        <w:t>bundle</w:t>
      </w:r>
      <w:r w:rsidR="00720C25">
        <w:t>s</w:t>
      </w:r>
      <w:r w:rsidR="00BA7D0D">
        <w:t xml:space="preserve"> MPQUIC-E and MPQUIC-IP with ATSSS-LL Active-Standby</w:t>
      </w:r>
      <w:r w:rsidR="00720C25">
        <w:t>.</w:t>
      </w:r>
    </w:p>
    <w:p w14:paraId="143B29D1" w14:textId="7F6536EC" w:rsidR="008F4EDF" w:rsidRDefault="00C231FD" w:rsidP="00BA7D0D">
      <w:r>
        <w:t>Please s</w:t>
      </w:r>
      <w:r w:rsidR="00711F75">
        <w:t>ee CRs in S2-24</w:t>
      </w:r>
      <w:r>
        <w:t>11649</w:t>
      </w:r>
      <w:r w:rsidR="00BA7D0D">
        <w:t xml:space="preserve"> and S2-24</w:t>
      </w:r>
      <w:r>
        <w:t>11650</w:t>
      </w:r>
      <w:r w:rsidR="00E25395">
        <w:t>.</w:t>
      </w:r>
    </w:p>
    <w:p w14:paraId="3CBFFE42" w14:textId="77777777" w:rsidR="00053F6B" w:rsidRDefault="00053F6B" w:rsidP="008F4EDF">
      <w:pPr>
        <w:rPr>
          <w:rFonts w:ascii="Arial" w:hAnsi="Arial" w:cs="Arial"/>
        </w:rPr>
      </w:pPr>
    </w:p>
    <w:p w14:paraId="5F1C3E06" w14:textId="77777777" w:rsidR="00053F6B" w:rsidRPr="00AE0793" w:rsidRDefault="00053F6B" w:rsidP="008F4EDF">
      <w:pPr>
        <w:rPr>
          <w:rFonts w:ascii="Arial" w:hAnsi="Arial" w:cs="Arial"/>
        </w:rPr>
      </w:pPr>
    </w:p>
    <w:sectPr w:rsidR="00053F6B" w:rsidRPr="00AE079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4456" w14:textId="77777777" w:rsidR="00F71410" w:rsidRDefault="00F71410">
      <w:r>
        <w:separator/>
      </w:r>
    </w:p>
  </w:endnote>
  <w:endnote w:type="continuationSeparator" w:id="0">
    <w:p w14:paraId="12E15212" w14:textId="77777777" w:rsidR="00F71410" w:rsidRDefault="00F7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B3E5" w14:textId="77777777" w:rsidR="00F71410" w:rsidRDefault="00F71410">
      <w:r>
        <w:separator/>
      </w:r>
    </w:p>
  </w:footnote>
  <w:footnote w:type="continuationSeparator" w:id="0">
    <w:p w14:paraId="075D0F7D" w14:textId="77777777" w:rsidR="00F71410" w:rsidRDefault="00F71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790B67"/>
    <w:multiLevelType w:val="hybridMultilevel"/>
    <w:tmpl w:val="7F648D5E"/>
    <w:lvl w:ilvl="0" w:tplc="B11E83B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7B21CC"/>
    <w:multiLevelType w:val="multilevel"/>
    <w:tmpl w:val="986E1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7"/>
  </w:num>
  <w:num w:numId="14" w16cid:durableId="1880436579">
    <w:abstractNumId w:val="19"/>
  </w:num>
  <w:num w:numId="15" w16cid:durableId="906646503">
    <w:abstractNumId w:val="8"/>
  </w:num>
  <w:num w:numId="16" w16cid:durableId="455031082">
    <w:abstractNumId w:val="27"/>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6"/>
  </w:num>
  <w:num w:numId="24" w16cid:durableId="1591742420">
    <w:abstractNumId w:val="10"/>
  </w:num>
  <w:num w:numId="25" w16cid:durableId="2054889613">
    <w:abstractNumId w:val="16"/>
  </w:num>
  <w:num w:numId="26" w16cid:durableId="188296956">
    <w:abstractNumId w:val="9"/>
  </w:num>
  <w:num w:numId="27" w16cid:durableId="934434306">
    <w:abstractNumId w:val="12"/>
  </w:num>
  <w:num w:numId="28" w16cid:durableId="1230267519">
    <w:abstractNumId w:val="14"/>
  </w:num>
  <w:num w:numId="29" w16cid:durableId="664939466">
    <w:abstractNumId w:val="11"/>
  </w:num>
  <w:num w:numId="30" w16cid:durableId="611203323">
    <w:abstractNumId w:val="25"/>
  </w:num>
  <w:num w:numId="31" w16cid:durableId="5092237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06D26"/>
    <w:rsid w:val="000123CE"/>
    <w:rsid w:val="000134AE"/>
    <w:rsid w:val="00014022"/>
    <w:rsid w:val="00016AF1"/>
    <w:rsid w:val="000201EF"/>
    <w:rsid w:val="00021AFE"/>
    <w:rsid w:val="00023BEB"/>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632B"/>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007"/>
    <w:rsid w:val="000C6CF0"/>
    <w:rsid w:val="000D0195"/>
    <w:rsid w:val="000D3CA0"/>
    <w:rsid w:val="000D58AB"/>
    <w:rsid w:val="000D6DB8"/>
    <w:rsid w:val="000E39BC"/>
    <w:rsid w:val="000E5950"/>
    <w:rsid w:val="000E5A3D"/>
    <w:rsid w:val="000E6673"/>
    <w:rsid w:val="000F1E6E"/>
    <w:rsid w:val="000F2074"/>
    <w:rsid w:val="000F2196"/>
    <w:rsid w:val="000F4194"/>
    <w:rsid w:val="000F66B9"/>
    <w:rsid w:val="000F67C2"/>
    <w:rsid w:val="001012CA"/>
    <w:rsid w:val="00106794"/>
    <w:rsid w:val="0011107E"/>
    <w:rsid w:val="001118B3"/>
    <w:rsid w:val="00121062"/>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1B9B"/>
    <w:rsid w:val="00196273"/>
    <w:rsid w:val="00196DA0"/>
    <w:rsid w:val="00197795"/>
    <w:rsid w:val="001A1ADA"/>
    <w:rsid w:val="001B33DE"/>
    <w:rsid w:val="001B451D"/>
    <w:rsid w:val="001B4585"/>
    <w:rsid w:val="001B5111"/>
    <w:rsid w:val="001B6560"/>
    <w:rsid w:val="001C1184"/>
    <w:rsid w:val="001C2F98"/>
    <w:rsid w:val="001D00E8"/>
    <w:rsid w:val="001D02C2"/>
    <w:rsid w:val="001D1761"/>
    <w:rsid w:val="001D2793"/>
    <w:rsid w:val="001D5A6E"/>
    <w:rsid w:val="001E08E7"/>
    <w:rsid w:val="001E37CE"/>
    <w:rsid w:val="001F168B"/>
    <w:rsid w:val="001F34E1"/>
    <w:rsid w:val="00201555"/>
    <w:rsid w:val="0020781B"/>
    <w:rsid w:val="002120CB"/>
    <w:rsid w:val="00212F37"/>
    <w:rsid w:val="002137B5"/>
    <w:rsid w:val="00213D02"/>
    <w:rsid w:val="002153B6"/>
    <w:rsid w:val="00216E3D"/>
    <w:rsid w:val="00223A95"/>
    <w:rsid w:val="002244C8"/>
    <w:rsid w:val="002347A2"/>
    <w:rsid w:val="00235901"/>
    <w:rsid w:val="00240904"/>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80A42"/>
    <w:rsid w:val="00283631"/>
    <w:rsid w:val="00285081"/>
    <w:rsid w:val="0028736C"/>
    <w:rsid w:val="00290364"/>
    <w:rsid w:val="00290BFC"/>
    <w:rsid w:val="0029496A"/>
    <w:rsid w:val="00294E5B"/>
    <w:rsid w:val="0029729A"/>
    <w:rsid w:val="002A38D0"/>
    <w:rsid w:val="002A3C9F"/>
    <w:rsid w:val="002A4194"/>
    <w:rsid w:val="002A44F5"/>
    <w:rsid w:val="002A562B"/>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66DD"/>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415E5"/>
    <w:rsid w:val="00350803"/>
    <w:rsid w:val="00350C51"/>
    <w:rsid w:val="0035148F"/>
    <w:rsid w:val="00351495"/>
    <w:rsid w:val="00351D46"/>
    <w:rsid w:val="0035462D"/>
    <w:rsid w:val="00357BAE"/>
    <w:rsid w:val="00357E16"/>
    <w:rsid w:val="00362C19"/>
    <w:rsid w:val="0036395C"/>
    <w:rsid w:val="003662D7"/>
    <w:rsid w:val="00366FC5"/>
    <w:rsid w:val="003712DC"/>
    <w:rsid w:val="003735AF"/>
    <w:rsid w:val="00376792"/>
    <w:rsid w:val="00376CDE"/>
    <w:rsid w:val="00376F4F"/>
    <w:rsid w:val="00386600"/>
    <w:rsid w:val="00391124"/>
    <w:rsid w:val="0039393E"/>
    <w:rsid w:val="003961C8"/>
    <w:rsid w:val="003A3E8B"/>
    <w:rsid w:val="003B26F8"/>
    <w:rsid w:val="003B4EEF"/>
    <w:rsid w:val="003C2363"/>
    <w:rsid w:val="003C3971"/>
    <w:rsid w:val="003C4228"/>
    <w:rsid w:val="003C58B2"/>
    <w:rsid w:val="003C6514"/>
    <w:rsid w:val="003D53BD"/>
    <w:rsid w:val="003E289A"/>
    <w:rsid w:val="003E5A74"/>
    <w:rsid w:val="003E5B25"/>
    <w:rsid w:val="003E67E3"/>
    <w:rsid w:val="003F0288"/>
    <w:rsid w:val="003F0890"/>
    <w:rsid w:val="003F31A6"/>
    <w:rsid w:val="003F63E8"/>
    <w:rsid w:val="004009A7"/>
    <w:rsid w:val="00403DF4"/>
    <w:rsid w:val="00410F27"/>
    <w:rsid w:val="00413096"/>
    <w:rsid w:val="0041622C"/>
    <w:rsid w:val="00417DED"/>
    <w:rsid w:val="00425A21"/>
    <w:rsid w:val="0042772C"/>
    <w:rsid w:val="00437742"/>
    <w:rsid w:val="004410DA"/>
    <w:rsid w:val="004412D7"/>
    <w:rsid w:val="00445219"/>
    <w:rsid w:val="00447A93"/>
    <w:rsid w:val="00447E84"/>
    <w:rsid w:val="004512FF"/>
    <w:rsid w:val="0045549B"/>
    <w:rsid w:val="00462749"/>
    <w:rsid w:val="004645B5"/>
    <w:rsid w:val="004657CA"/>
    <w:rsid w:val="0047098F"/>
    <w:rsid w:val="0047540A"/>
    <w:rsid w:val="00481AD1"/>
    <w:rsid w:val="00484183"/>
    <w:rsid w:val="00487D49"/>
    <w:rsid w:val="00491C39"/>
    <w:rsid w:val="004963BF"/>
    <w:rsid w:val="004A2281"/>
    <w:rsid w:val="004A483F"/>
    <w:rsid w:val="004A742D"/>
    <w:rsid w:val="004B1CB0"/>
    <w:rsid w:val="004B3251"/>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EEC"/>
    <w:rsid w:val="0051699C"/>
    <w:rsid w:val="0052353C"/>
    <w:rsid w:val="005258DF"/>
    <w:rsid w:val="00526BEE"/>
    <w:rsid w:val="00526CEE"/>
    <w:rsid w:val="005353FA"/>
    <w:rsid w:val="00543E6C"/>
    <w:rsid w:val="00551855"/>
    <w:rsid w:val="00561A92"/>
    <w:rsid w:val="00562144"/>
    <w:rsid w:val="00565087"/>
    <w:rsid w:val="00577FBB"/>
    <w:rsid w:val="00587189"/>
    <w:rsid w:val="005876E9"/>
    <w:rsid w:val="005B0043"/>
    <w:rsid w:val="005B2BDE"/>
    <w:rsid w:val="005B4436"/>
    <w:rsid w:val="005B4C45"/>
    <w:rsid w:val="005C294B"/>
    <w:rsid w:val="005C29FA"/>
    <w:rsid w:val="005C514F"/>
    <w:rsid w:val="005C6E15"/>
    <w:rsid w:val="005D127B"/>
    <w:rsid w:val="005D162E"/>
    <w:rsid w:val="005D2A65"/>
    <w:rsid w:val="005D2E01"/>
    <w:rsid w:val="005D318A"/>
    <w:rsid w:val="005E3906"/>
    <w:rsid w:val="005E3BE5"/>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46B21"/>
    <w:rsid w:val="00652C89"/>
    <w:rsid w:val="0065413D"/>
    <w:rsid w:val="006639DD"/>
    <w:rsid w:val="00671775"/>
    <w:rsid w:val="00677386"/>
    <w:rsid w:val="00680F3C"/>
    <w:rsid w:val="00681D6F"/>
    <w:rsid w:val="00682170"/>
    <w:rsid w:val="00684245"/>
    <w:rsid w:val="0068462F"/>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8C5"/>
    <w:rsid w:val="006E1037"/>
    <w:rsid w:val="006E41E9"/>
    <w:rsid w:val="006E5C86"/>
    <w:rsid w:val="006E73FE"/>
    <w:rsid w:val="006F02B9"/>
    <w:rsid w:val="00700B57"/>
    <w:rsid w:val="00701D75"/>
    <w:rsid w:val="007044F6"/>
    <w:rsid w:val="007100AD"/>
    <w:rsid w:val="0071017A"/>
    <w:rsid w:val="00711037"/>
    <w:rsid w:val="00711F75"/>
    <w:rsid w:val="00712062"/>
    <w:rsid w:val="00712F8C"/>
    <w:rsid w:val="00720C25"/>
    <w:rsid w:val="00725792"/>
    <w:rsid w:val="00732A74"/>
    <w:rsid w:val="00734A5B"/>
    <w:rsid w:val="007441D0"/>
    <w:rsid w:val="00744E76"/>
    <w:rsid w:val="007567D7"/>
    <w:rsid w:val="00756A51"/>
    <w:rsid w:val="00757790"/>
    <w:rsid w:val="00763C76"/>
    <w:rsid w:val="00770221"/>
    <w:rsid w:val="00775DE5"/>
    <w:rsid w:val="0077651D"/>
    <w:rsid w:val="0078163B"/>
    <w:rsid w:val="00781F0F"/>
    <w:rsid w:val="00782B61"/>
    <w:rsid w:val="0078601E"/>
    <w:rsid w:val="0079093A"/>
    <w:rsid w:val="00793EBE"/>
    <w:rsid w:val="007A39B1"/>
    <w:rsid w:val="007A3BC8"/>
    <w:rsid w:val="007A402F"/>
    <w:rsid w:val="007A4FDC"/>
    <w:rsid w:val="007A752C"/>
    <w:rsid w:val="007B246F"/>
    <w:rsid w:val="007B2778"/>
    <w:rsid w:val="007B7505"/>
    <w:rsid w:val="007C079A"/>
    <w:rsid w:val="007C1FAE"/>
    <w:rsid w:val="007C20CA"/>
    <w:rsid w:val="007C5E58"/>
    <w:rsid w:val="007D2584"/>
    <w:rsid w:val="007E0B23"/>
    <w:rsid w:val="007E0BF2"/>
    <w:rsid w:val="007E2729"/>
    <w:rsid w:val="007E32E1"/>
    <w:rsid w:val="007F23C7"/>
    <w:rsid w:val="00800211"/>
    <w:rsid w:val="008028A4"/>
    <w:rsid w:val="0080335D"/>
    <w:rsid w:val="00805188"/>
    <w:rsid w:val="00806F25"/>
    <w:rsid w:val="00807F7D"/>
    <w:rsid w:val="00810D4B"/>
    <w:rsid w:val="008160E5"/>
    <w:rsid w:val="008165B6"/>
    <w:rsid w:val="00816A6D"/>
    <w:rsid w:val="0082248A"/>
    <w:rsid w:val="0082610B"/>
    <w:rsid w:val="00826A97"/>
    <w:rsid w:val="00837261"/>
    <w:rsid w:val="00837A66"/>
    <w:rsid w:val="00843307"/>
    <w:rsid w:val="008463C3"/>
    <w:rsid w:val="00846D56"/>
    <w:rsid w:val="00850CA7"/>
    <w:rsid w:val="0085185A"/>
    <w:rsid w:val="008522B8"/>
    <w:rsid w:val="00852F60"/>
    <w:rsid w:val="00853453"/>
    <w:rsid w:val="008560BC"/>
    <w:rsid w:val="00857FAF"/>
    <w:rsid w:val="00864249"/>
    <w:rsid w:val="008656C0"/>
    <w:rsid w:val="008729AE"/>
    <w:rsid w:val="008729D3"/>
    <w:rsid w:val="00873674"/>
    <w:rsid w:val="00875170"/>
    <w:rsid w:val="008768CA"/>
    <w:rsid w:val="0088273B"/>
    <w:rsid w:val="00882DB6"/>
    <w:rsid w:val="008833CB"/>
    <w:rsid w:val="00891CA3"/>
    <w:rsid w:val="00893CC6"/>
    <w:rsid w:val="0089534E"/>
    <w:rsid w:val="008A0925"/>
    <w:rsid w:val="008A0FE9"/>
    <w:rsid w:val="008A5A88"/>
    <w:rsid w:val="008B1270"/>
    <w:rsid w:val="008C02B7"/>
    <w:rsid w:val="008C6698"/>
    <w:rsid w:val="008D1702"/>
    <w:rsid w:val="008D24AD"/>
    <w:rsid w:val="008D5459"/>
    <w:rsid w:val="008D552D"/>
    <w:rsid w:val="008D5F69"/>
    <w:rsid w:val="008D6702"/>
    <w:rsid w:val="008E719E"/>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FF0"/>
    <w:rsid w:val="00972680"/>
    <w:rsid w:val="0097416F"/>
    <w:rsid w:val="009833AE"/>
    <w:rsid w:val="009862B8"/>
    <w:rsid w:val="009866CC"/>
    <w:rsid w:val="009873BA"/>
    <w:rsid w:val="00987A5D"/>
    <w:rsid w:val="009920EC"/>
    <w:rsid w:val="00992E23"/>
    <w:rsid w:val="009B03B5"/>
    <w:rsid w:val="009B5798"/>
    <w:rsid w:val="009C25EF"/>
    <w:rsid w:val="009C2BF0"/>
    <w:rsid w:val="009C63B1"/>
    <w:rsid w:val="009D191A"/>
    <w:rsid w:val="009D2E4F"/>
    <w:rsid w:val="009D7CC3"/>
    <w:rsid w:val="009E1897"/>
    <w:rsid w:val="009E6FF2"/>
    <w:rsid w:val="009E748A"/>
    <w:rsid w:val="009F37B7"/>
    <w:rsid w:val="009F606D"/>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7E9C"/>
    <w:rsid w:val="00A82346"/>
    <w:rsid w:val="00A86080"/>
    <w:rsid w:val="00A92219"/>
    <w:rsid w:val="00A9318F"/>
    <w:rsid w:val="00A948AB"/>
    <w:rsid w:val="00A94BC1"/>
    <w:rsid w:val="00A94CD1"/>
    <w:rsid w:val="00AA393E"/>
    <w:rsid w:val="00AB05A7"/>
    <w:rsid w:val="00AB1185"/>
    <w:rsid w:val="00AB4AA5"/>
    <w:rsid w:val="00AC7166"/>
    <w:rsid w:val="00AD4878"/>
    <w:rsid w:val="00AD4EB7"/>
    <w:rsid w:val="00AD63FB"/>
    <w:rsid w:val="00AE0793"/>
    <w:rsid w:val="00AE5CA6"/>
    <w:rsid w:val="00B07C9E"/>
    <w:rsid w:val="00B1236B"/>
    <w:rsid w:val="00B12C14"/>
    <w:rsid w:val="00B13CD2"/>
    <w:rsid w:val="00B14E0A"/>
    <w:rsid w:val="00B15449"/>
    <w:rsid w:val="00B155DC"/>
    <w:rsid w:val="00B21568"/>
    <w:rsid w:val="00B22BDD"/>
    <w:rsid w:val="00B234EE"/>
    <w:rsid w:val="00B23676"/>
    <w:rsid w:val="00B23AD4"/>
    <w:rsid w:val="00B25F0E"/>
    <w:rsid w:val="00B266E6"/>
    <w:rsid w:val="00B27FB8"/>
    <w:rsid w:val="00B30CE4"/>
    <w:rsid w:val="00B403D8"/>
    <w:rsid w:val="00B40C8A"/>
    <w:rsid w:val="00B4732F"/>
    <w:rsid w:val="00B50254"/>
    <w:rsid w:val="00B571D1"/>
    <w:rsid w:val="00B6196E"/>
    <w:rsid w:val="00B633D9"/>
    <w:rsid w:val="00B6387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4ECF"/>
    <w:rsid w:val="00B95AEF"/>
    <w:rsid w:val="00BA2CE8"/>
    <w:rsid w:val="00BA493B"/>
    <w:rsid w:val="00BA7D0D"/>
    <w:rsid w:val="00BB20D5"/>
    <w:rsid w:val="00BB385A"/>
    <w:rsid w:val="00BB3E38"/>
    <w:rsid w:val="00BB7408"/>
    <w:rsid w:val="00BB7AFF"/>
    <w:rsid w:val="00BC0F7D"/>
    <w:rsid w:val="00BC14FF"/>
    <w:rsid w:val="00BC4AF2"/>
    <w:rsid w:val="00BC4F9F"/>
    <w:rsid w:val="00BC590C"/>
    <w:rsid w:val="00BC5CC4"/>
    <w:rsid w:val="00BC698D"/>
    <w:rsid w:val="00BD0044"/>
    <w:rsid w:val="00BD267B"/>
    <w:rsid w:val="00BD3C5C"/>
    <w:rsid w:val="00BD6927"/>
    <w:rsid w:val="00BE0FE0"/>
    <w:rsid w:val="00BE30EC"/>
    <w:rsid w:val="00BE60EE"/>
    <w:rsid w:val="00BE7A76"/>
    <w:rsid w:val="00BF1785"/>
    <w:rsid w:val="00BF3AEE"/>
    <w:rsid w:val="00C00441"/>
    <w:rsid w:val="00C014AB"/>
    <w:rsid w:val="00C07194"/>
    <w:rsid w:val="00C10B2B"/>
    <w:rsid w:val="00C14BF2"/>
    <w:rsid w:val="00C152F3"/>
    <w:rsid w:val="00C1643B"/>
    <w:rsid w:val="00C2228A"/>
    <w:rsid w:val="00C2283A"/>
    <w:rsid w:val="00C231FD"/>
    <w:rsid w:val="00C33079"/>
    <w:rsid w:val="00C35625"/>
    <w:rsid w:val="00C445FC"/>
    <w:rsid w:val="00C44A55"/>
    <w:rsid w:val="00C44BD2"/>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253"/>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3C64"/>
    <w:rsid w:val="00D04673"/>
    <w:rsid w:val="00D05C47"/>
    <w:rsid w:val="00D06053"/>
    <w:rsid w:val="00D063F0"/>
    <w:rsid w:val="00D07E14"/>
    <w:rsid w:val="00D24374"/>
    <w:rsid w:val="00D2474B"/>
    <w:rsid w:val="00D26FDD"/>
    <w:rsid w:val="00D2765C"/>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7A03"/>
    <w:rsid w:val="00DB1818"/>
    <w:rsid w:val="00DB1FAD"/>
    <w:rsid w:val="00DB36D4"/>
    <w:rsid w:val="00DB3ABA"/>
    <w:rsid w:val="00DB602F"/>
    <w:rsid w:val="00DB6B81"/>
    <w:rsid w:val="00DB7C87"/>
    <w:rsid w:val="00DC241D"/>
    <w:rsid w:val="00DC260D"/>
    <w:rsid w:val="00DC309B"/>
    <w:rsid w:val="00DC4DA2"/>
    <w:rsid w:val="00DC5A00"/>
    <w:rsid w:val="00DC5C16"/>
    <w:rsid w:val="00DD3CDF"/>
    <w:rsid w:val="00DD4998"/>
    <w:rsid w:val="00DD5B74"/>
    <w:rsid w:val="00DD68D7"/>
    <w:rsid w:val="00DE2AAA"/>
    <w:rsid w:val="00DE4AFD"/>
    <w:rsid w:val="00DE57AA"/>
    <w:rsid w:val="00DE76EF"/>
    <w:rsid w:val="00DF2B1F"/>
    <w:rsid w:val="00DF54FF"/>
    <w:rsid w:val="00DF611B"/>
    <w:rsid w:val="00DF62CD"/>
    <w:rsid w:val="00E037C5"/>
    <w:rsid w:val="00E0534D"/>
    <w:rsid w:val="00E12A44"/>
    <w:rsid w:val="00E1605F"/>
    <w:rsid w:val="00E16413"/>
    <w:rsid w:val="00E164A5"/>
    <w:rsid w:val="00E168B2"/>
    <w:rsid w:val="00E25395"/>
    <w:rsid w:val="00E30A87"/>
    <w:rsid w:val="00E30EC4"/>
    <w:rsid w:val="00E33EDA"/>
    <w:rsid w:val="00E344A9"/>
    <w:rsid w:val="00E37F70"/>
    <w:rsid w:val="00E416AD"/>
    <w:rsid w:val="00E418DB"/>
    <w:rsid w:val="00E42A60"/>
    <w:rsid w:val="00E43ED6"/>
    <w:rsid w:val="00E43FF0"/>
    <w:rsid w:val="00E47BDF"/>
    <w:rsid w:val="00E51302"/>
    <w:rsid w:val="00E538D6"/>
    <w:rsid w:val="00E6017F"/>
    <w:rsid w:val="00E60E94"/>
    <w:rsid w:val="00E6385F"/>
    <w:rsid w:val="00E66D40"/>
    <w:rsid w:val="00E67E7D"/>
    <w:rsid w:val="00E705E9"/>
    <w:rsid w:val="00E70AC5"/>
    <w:rsid w:val="00E72F90"/>
    <w:rsid w:val="00E74DF3"/>
    <w:rsid w:val="00E77645"/>
    <w:rsid w:val="00E81E11"/>
    <w:rsid w:val="00E85BC1"/>
    <w:rsid w:val="00E872B1"/>
    <w:rsid w:val="00E8794F"/>
    <w:rsid w:val="00E91E71"/>
    <w:rsid w:val="00EB26BD"/>
    <w:rsid w:val="00EB33C7"/>
    <w:rsid w:val="00EB60B1"/>
    <w:rsid w:val="00EC4A25"/>
    <w:rsid w:val="00ED1E19"/>
    <w:rsid w:val="00EE00EA"/>
    <w:rsid w:val="00EE0121"/>
    <w:rsid w:val="00EE0A3C"/>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2E99"/>
    <w:rsid w:val="00F653B8"/>
    <w:rsid w:val="00F703A3"/>
    <w:rsid w:val="00F71410"/>
    <w:rsid w:val="00F779C9"/>
    <w:rsid w:val="00F830B9"/>
    <w:rsid w:val="00F83DB9"/>
    <w:rsid w:val="00F83F8C"/>
    <w:rsid w:val="00F84DC9"/>
    <w:rsid w:val="00F95DAF"/>
    <w:rsid w:val="00F96EE5"/>
    <w:rsid w:val="00FA1266"/>
    <w:rsid w:val="00FA2E87"/>
    <w:rsid w:val="00FB184E"/>
    <w:rsid w:val="00FB2F2D"/>
    <w:rsid w:val="00FB31F3"/>
    <w:rsid w:val="00FB3F2E"/>
    <w:rsid w:val="00FB6DAE"/>
    <w:rsid w:val="00FB7986"/>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71206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059878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820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0A30D9-1C75-4421-A188-D150454E87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5DD6A8-A8BD-46C0-ADC9-26F20EC008F2}">
  <ds:schemaRefs>
    <ds:schemaRef ds:uri="http://schemas.microsoft.com/sharepoint/v3/contenttype/forms"/>
  </ds:schemaRefs>
</ds:datastoreItem>
</file>

<file path=customXml/itemProps3.xml><?xml version="1.0" encoding="utf-8"?>
<ds:datastoreItem xmlns:ds="http://schemas.openxmlformats.org/officeDocument/2006/customXml" ds:itemID="{393CDC93-4D0B-41FF-8019-DBD04F62E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6600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Ericsson_1031</cp:lastModifiedBy>
  <cp:revision>89</cp:revision>
  <dcterms:created xsi:type="dcterms:W3CDTF">2024-09-09T16:44:00Z</dcterms:created>
  <dcterms:modified xsi:type="dcterms:W3CDTF">2024-11-08T18:39:00Z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